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494"/>
        <w:gridCol w:w="2903"/>
      </w:tblGrid>
      <w:tr w:rsidR="003B5BEF" w:rsidRPr="00C55167" w:rsidTr="00C55167">
        <w:trPr>
          <w:trHeight w:val="557"/>
        </w:trPr>
        <w:tc>
          <w:tcPr>
            <w:tcW w:w="9629" w:type="dxa"/>
            <w:gridSpan w:val="4"/>
            <w:vAlign w:val="center"/>
          </w:tcPr>
          <w:p w:rsidR="003B5BEF" w:rsidRPr="00C55167" w:rsidRDefault="003B5BEF" w:rsidP="00826E2B">
            <w:pPr>
              <w:spacing w:after="0"/>
              <w:jc w:val="center"/>
              <w:rPr>
                <w:rFonts w:cs="Calibri"/>
                <w:b/>
                <w:color w:val="17365D"/>
                <w:sz w:val="20"/>
              </w:rPr>
            </w:pPr>
            <w:bookmarkStart w:id="0" w:name="_GoBack"/>
            <w:bookmarkEnd w:id="0"/>
            <w:r w:rsidRPr="00C55167">
              <w:rPr>
                <w:rFonts w:cs="Calibri"/>
                <w:b/>
                <w:color w:val="17365D"/>
                <w:sz w:val="20"/>
              </w:rPr>
              <w:t>QUESTIONARIO PROBLEMATICHE RADIAZIONE PER DEMOLIZIONE</w:t>
            </w:r>
          </w:p>
        </w:tc>
      </w:tr>
      <w:tr w:rsidR="00C55167" w:rsidRPr="00C55167" w:rsidTr="00C55167">
        <w:trPr>
          <w:trHeight w:val="1127"/>
        </w:trPr>
        <w:tc>
          <w:tcPr>
            <w:tcW w:w="9629" w:type="dxa"/>
            <w:gridSpan w:val="4"/>
            <w:vAlign w:val="center"/>
          </w:tcPr>
          <w:p w:rsidR="00C55167" w:rsidRPr="00C55167" w:rsidRDefault="00C55167" w:rsidP="00C55167">
            <w:pPr>
              <w:spacing w:after="0"/>
              <w:rPr>
                <w:rFonts w:cs="Calibri"/>
                <w:b/>
                <w:color w:val="17365D"/>
              </w:rPr>
            </w:pPr>
            <w:r w:rsidRPr="00C55167">
              <w:rPr>
                <w:rFonts w:cs="Calibri"/>
                <w:b/>
                <w:color w:val="17365D"/>
              </w:rPr>
              <w:t>AZIENDA: ________________________________________________________PROV. _____________</w:t>
            </w:r>
          </w:p>
        </w:tc>
      </w:tr>
      <w:tr w:rsidR="003B5BEF" w:rsidRPr="00C55167" w:rsidTr="00C55167">
        <w:trPr>
          <w:trHeight w:val="701"/>
        </w:trPr>
        <w:tc>
          <w:tcPr>
            <w:tcW w:w="3256" w:type="dxa"/>
            <w:vAlign w:val="center"/>
          </w:tcPr>
          <w:p w:rsidR="003B5BEF" w:rsidRPr="00C55167" w:rsidRDefault="003B5BEF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>1) Hai già avuto modo di radiare con le nuove procedure?</w:t>
            </w:r>
          </w:p>
        </w:tc>
        <w:tc>
          <w:tcPr>
            <w:tcW w:w="2976" w:type="dxa"/>
            <w:vAlign w:val="center"/>
          </w:tcPr>
          <w:p w:rsidR="003B5BEF" w:rsidRPr="00C55167" w:rsidRDefault="00A148CA" w:rsidP="003B5BEF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Pr="00C55167">
              <w:rPr>
                <w:rFonts w:cs="Calibri"/>
                <w:color w:val="17365D"/>
                <w:sz w:val="20"/>
              </w:rPr>
              <w:t xml:space="preserve"> </w:t>
            </w:r>
            <w:r w:rsidR="003B5BEF" w:rsidRPr="00C55167">
              <w:rPr>
                <w:rFonts w:cs="Calibri"/>
                <w:color w:val="17365D"/>
                <w:sz w:val="20"/>
              </w:rPr>
              <w:t>SI</w:t>
            </w:r>
          </w:p>
        </w:tc>
        <w:tc>
          <w:tcPr>
            <w:tcW w:w="3397" w:type="dxa"/>
            <w:gridSpan w:val="2"/>
            <w:vAlign w:val="center"/>
          </w:tcPr>
          <w:p w:rsidR="003B5BEF" w:rsidRPr="00C55167" w:rsidRDefault="00826E2B" w:rsidP="003B5BEF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3B5BEF" w:rsidRPr="00C55167">
              <w:rPr>
                <w:rFonts w:cs="Calibri"/>
                <w:color w:val="17365D"/>
                <w:sz w:val="20"/>
              </w:rPr>
              <w:t>NO</w:t>
            </w:r>
          </w:p>
        </w:tc>
      </w:tr>
      <w:tr w:rsidR="003B5BEF" w:rsidRPr="00C55167" w:rsidTr="00C55167">
        <w:trPr>
          <w:trHeight w:val="697"/>
        </w:trPr>
        <w:tc>
          <w:tcPr>
            <w:tcW w:w="3256" w:type="dxa"/>
            <w:vAlign w:val="center"/>
          </w:tcPr>
          <w:p w:rsidR="003B5BEF" w:rsidRPr="00C55167" w:rsidRDefault="003B5BEF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>2) Se no, per quale motivo?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  <w:vAlign w:val="center"/>
          </w:tcPr>
          <w:p w:rsidR="003B5BEF" w:rsidRPr="00C55167" w:rsidRDefault="00826E2B" w:rsidP="00DF56E4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t>___________________________________________________</w:t>
            </w:r>
          </w:p>
        </w:tc>
      </w:tr>
      <w:tr w:rsidR="003B5BEF" w:rsidRPr="00C55167" w:rsidTr="00C55167">
        <w:trPr>
          <w:trHeight w:val="978"/>
        </w:trPr>
        <w:tc>
          <w:tcPr>
            <w:tcW w:w="3256" w:type="dxa"/>
            <w:tcBorders>
              <w:bottom w:val="nil"/>
            </w:tcBorders>
            <w:vAlign w:val="center"/>
          </w:tcPr>
          <w:p w:rsidR="003B5BEF" w:rsidRPr="00C55167" w:rsidRDefault="003B5BEF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>3) Quali problematiche hai riscontrato?</w:t>
            </w:r>
          </w:p>
        </w:tc>
        <w:tc>
          <w:tcPr>
            <w:tcW w:w="2976" w:type="dxa"/>
            <w:tcBorders>
              <w:bottom w:val="nil"/>
              <w:right w:val="nil"/>
            </w:tcBorders>
            <w:vAlign w:val="center"/>
          </w:tcPr>
          <w:p w:rsidR="00A148CA" w:rsidRPr="00C55167" w:rsidRDefault="00826E2B" w:rsidP="00C55167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BB25F5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aumento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costi</w:t>
            </w:r>
            <w:r w:rsidR="00C55167">
              <w:rPr>
                <w:rFonts w:cs="Calibri"/>
                <w:color w:val="17365D"/>
                <w:sz w:val="20"/>
              </w:rPr>
              <w:t xml:space="preserve"> (</w:t>
            </w:r>
            <w:r w:rsidR="00BB25F5" w:rsidRPr="00C55167">
              <w:rPr>
                <w:rFonts w:cs="Calibri"/>
                <w:color w:val="17365D"/>
                <w:sz w:val="20"/>
              </w:rPr>
              <w:t>indicare di quanto: ____________</w:t>
            </w:r>
            <w:r w:rsidR="00C55167">
              <w:rPr>
                <w:rFonts w:cs="Calibri"/>
                <w:color w:val="17365D"/>
                <w:sz w:val="20"/>
              </w:rPr>
              <w:t>)</w:t>
            </w:r>
          </w:p>
        </w:tc>
        <w:tc>
          <w:tcPr>
            <w:tcW w:w="3397" w:type="dxa"/>
            <w:gridSpan w:val="2"/>
            <w:tcBorders>
              <w:left w:val="nil"/>
              <w:bottom w:val="nil"/>
            </w:tcBorders>
            <w:vAlign w:val="center"/>
          </w:tcPr>
          <w:p w:rsidR="003B5BEF" w:rsidRPr="00C55167" w:rsidRDefault="00826E2B" w:rsidP="003B5BEF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BB25F5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aumento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tempi di restituzione delle pratiche</w:t>
            </w:r>
          </w:p>
        </w:tc>
      </w:tr>
      <w:tr w:rsidR="003B5BEF" w:rsidRPr="00C55167" w:rsidTr="00C55167">
        <w:trPr>
          <w:trHeight w:val="845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3B5BEF" w:rsidRPr="00C55167" w:rsidRDefault="003B5BEF" w:rsidP="008B410C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center"/>
          </w:tcPr>
          <w:p w:rsidR="003B5BEF" w:rsidRPr="00C55167" w:rsidRDefault="00826E2B" w:rsidP="00BB25F5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BB25F5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irreperibilità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bollettini per effettuare i pagamenti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5BEF" w:rsidRPr="00C55167" w:rsidRDefault="00826E2B" w:rsidP="003B5BEF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BB25F5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l’agenzia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non effettua più le pratiche di radiazione per demolizione</w:t>
            </w:r>
          </w:p>
        </w:tc>
      </w:tr>
      <w:tr w:rsidR="007836D4" w:rsidRPr="00C55167" w:rsidTr="00C55167">
        <w:tc>
          <w:tcPr>
            <w:tcW w:w="3256" w:type="dxa"/>
            <w:tcBorders>
              <w:top w:val="nil"/>
            </w:tcBorders>
            <w:vAlign w:val="center"/>
          </w:tcPr>
          <w:p w:rsidR="007836D4" w:rsidRPr="00C55167" w:rsidRDefault="007836D4" w:rsidP="008B410C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36D4" w:rsidRPr="00C55167" w:rsidRDefault="00826E2B" w:rsidP="00880F04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880F04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difficolt</w:t>
            </w:r>
            <w:r w:rsidR="00880F04" w:rsidRPr="00C55167">
              <w:rPr>
                <w:rFonts w:cs="Calibri"/>
                <w:color w:val="17365D"/>
                <w:sz w:val="20"/>
              </w:rPr>
              <w:t>à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a reperire agenzia disponibile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36D4" w:rsidRPr="00C55167" w:rsidRDefault="00826E2B" w:rsidP="0000759A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="00BB25F5"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BB25F5" w:rsidRPr="00C55167">
              <w:rPr>
                <w:rFonts w:cs="Calibri"/>
                <w:color w:val="17365D"/>
                <w:sz w:val="20"/>
              </w:rPr>
              <w:t>conservazione</w:t>
            </w:r>
            <w:proofErr w:type="gramEnd"/>
            <w:r w:rsidR="00BB25F5" w:rsidRPr="00C55167">
              <w:rPr>
                <w:rFonts w:cs="Calibri"/>
                <w:color w:val="17365D"/>
                <w:sz w:val="20"/>
              </w:rPr>
              <w:t xml:space="preserve"> e distruzione targhe</w:t>
            </w:r>
          </w:p>
        </w:tc>
      </w:tr>
      <w:tr w:rsidR="007836D4" w:rsidRPr="00C55167" w:rsidTr="00C55167">
        <w:trPr>
          <w:trHeight w:val="1146"/>
        </w:trPr>
        <w:tc>
          <w:tcPr>
            <w:tcW w:w="3256" w:type="dxa"/>
            <w:vAlign w:val="center"/>
          </w:tcPr>
          <w:p w:rsidR="007836D4" w:rsidRPr="00C55167" w:rsidRDefault="007836D4" w:rsidP="00BB25F5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 xml:space="preserve">4) </w:t>
            </w:r>
            <w:r w:rsidR="00BB25F5" w:rsidRPr="00C55167">
              <w:rPr>
                <w:rFonts w:cs="Calibri"/>
                <w:b/>
                <w:color w:val="17365D"/>
                <w:sz w:val="20"/>
              </w:rPr>
              <w:t>S</w:t>
            </w:r>
            <w:r w:rsidRPr="00C55167">
              <w:rPr>
                <w:rFonts w:cs="Calibri"/>
                <w:b/>
                <w:color w:val="17365D"/>
                <w:sz w:val="20"/>
              </w:rPr>
              <w:t>egnala altre problematiche non indicate: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  <w:vAlign w:val="center"/>
          </w:tcPr>
          <w:p w:rsidR="007836D4" w:rsidRPr="00C55167" w:rsidRDefault="00826E2B" w:rsidP="00826E2B">
            <w:pPr>
              <w:spacing w:after="0" w:line="360" w:lineRule="auto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t>___________________________________________________</w:t>
            </w:r>
          </w:p>
          <w:p w:rsidR="00826E2B" w:rsidRPr="00C55167" w:rsidRDefault="00826E2B" w:rsidP="00C55167">
            <w:pPr>
              <w:spacing w:after="0" w:line="360" w:lineRule="auto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t>___________________________________________________</w:t>
            </w:r>
          </w:p>
        </w:tc>
      </w:tr>
      <w:tr w:rsidR="007836D4" w:rsidRPr="00C55167" w:rsidTr="00C55167">
        <w:trPr>
          <w:trHeight w:val="1130"/>
        </w:trPr>
        <w:tc>
          <w:tcPr>
            <w:tcW w:w="3256" w:type="dxa"/>
            <w:vAlign w:val="center"/>
          </w:tcPr>
          <w:p w:rsidR="007836D4" w:rsidRPr="00C55167" w:rsidRDefault="007836D4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>5) Qual è il numero di pratiche che devono ancora essere definite (radiazione non ancora effettuata)?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  <w:vAlign w:val="center"/>
          </w:tcPr>
          <w:p w:rsidR="007836D4" w:rsidRPr="00C55167" w:rsidRDefault="00826E2B" w:rsidP="00826E2B">
            <w:pPr>
              <w:spacing w:after="0"/>
              <w:jc w:val="center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t>__________________________________________________</w:t>
            </w:r>
          </w:p>
        </w:tc>
      </w:tr>
      <w:tr w:rsidR="0000759A" w:rsidRPr="00C55167" w:rsidTr="00C55167">
        <w:trPr>
          <w:trHeight w:val="1131"/>
        </w:trPr>
        <w:tc>
          <w:tcPr>
            <w:tcW w:w="3256" w:type="dxa"/>
            <w:vAlign w:val="center"/>
          </w:tcPr>
          <w:p w:rsidR="0000759A" w:rsidRPr="00C55167" w:rsidRDefault="0000759A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  <w:r w:rsidRPr="00C55167">
              <w:rPr>
                <w:rFonts w:cs="Calibri"/>
                <w:b/>
                <w:color w:val="17365D"/>
                <w:sz w:val="20"/>
              </w:rPr>
              <w:t>6) Per quanto riguarda la distruzione delle targhe, la tua agenzia di riferimento come intende procedere?</w:t>
            </w:r>
          </w:p>
        </w:tc>
        <w:tc>
          <w:tcPr>
            <w:tcW w:w="3470" w:type="dxa"/>
            <w:gridSpan w:val="2"/>
            <w:tcBorders>
              <w:bottom w:val="nil"/>
              <w:right w:val="nil"/>
            </w:tcBorders>
            <w:vAlign w:val="center"/>
          </w:tcPr>
          <w:p w:rsidR="0000759A" w:rsidRPr="00C55167" w:rsidRDefault="00BB25F5" w:rsidP="00880F04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880F04" w:rsidRPr="00C55167">
              <w:rPr>
                <w:rFonts w:cs="Calibri"/>
                <w:color w:val="17365D"/>
                <w:sz w:val="20"/>
              </w:rPr>
              <w:t>r</w:t>
            </w:r>
            <w:r w:rsidR="0000759A" w:rsidRPr="00C55167">
              <w:rPr>
                <w:rFonts w:cs="Calibri"/>
                <w:color w:val="17365D"/>
                <w:sz w:val="20"/>
              </w:rPr>
              <w:t>itira</w:t>
            </w:r>
            <w:proofErr w:type="gramEnd"/>
            <w:r w:rsidR="0000759A" w:rsidRPr="00C55167">
              <w:rPr>
                <w:rFonts w:cs="Calibri"/>
                <w:color w:val="17365D"/>
                <w:sz w:val="20"/>
              </w:rPr>
              <w:t>, conserva secondo le scadenze e consegna ad un centro di trattamento</w:t>
            </w:r>
          </w:p>
        </w:tc>
        <w:tc>
          <w:tcPr>
            <w:tcW w:w="2903" w:type="dxa"/>
            <w:tcBorders>
              <w:left w:val="nil"/>
              <w:bottom w:val="nil"/>
            </w:tcBorders>
            <w:vAlign w:val="center"/>
          </w:tcPr>
          <w:p w:rsidR="0000759A" w:rsidRPr="00C55167" w:rsidRDefault="00BB25F5" w:rsidP="00880F04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880F04" w:rsidRPr="00C55167">
              <w:rPr>
                <w:rFonts w:cs="Calibri"/>
                <w:color w:val="17365D"/>
                <w:sz w:val="20"/>
              </w:rPr>
              <w:t>n</w:t>
            </w:r>
            <w:r w:rsidR="0000759A" w:rsidRPr="00C55167">
              <w:rPr>
                <w:rFonts w:cs="Calibri"/>
                <w:color w:val="17365D"/>
                <w:sz w:val="20"/>
              </w:rPr>
              <w:t>on</w:t>
            </w:r>
            <w:proofErr w:type="gramEnd"/>
            <w:r w:rsidR="0000759A" w:rsidRPr="00C55167">
              <w:rPr>
                <w:rFonts w:cs="Calibri"/>
                <w:color w:val="17365D"/>
                <w:sz w:val="20"/>
              </w:rPr>
              <w:t xml:space="preserve"> ritira le targhe</w:t>
            </w:r>
            <w:r w:rsidRPr="00C55167">
              <w:rPr>
                <w:rFonts w:cs="Calibri"/>
                <w:color w:val="17365D"/>
                <w:sz w:val="20"/>
              </w:rPr>
              <w:t>,</w:t>
            </w:r>
            <w:r w:rsidR="0000759A" w:rsidRPr="00C55167">
              <w:rPr>
                <w:rFonts w:cs="Calibri"/>
                <w:color w:val="17365D"/>
                <w:sz w:val="20"/>
              </w:rPr>
              <w:t xml:space="preserve"> lascia</w:t>
            </w:r>
            <w:r w:rsidRPr="00C55167">
              <w:rPr>
                <w:rFonts w:cs="Calibri"/>
                <w:color w:val="17365D"/>
                <w:sz w:val="20"/>
              </w:rPr>
              <w:t>ndole</w:t>
            </w:r>
            <w:r w:rsidR="0000759A" w:rsidRPr="00C55167">
              <w:rPr>
                <w:rFonts w:cs="Calibri"/>
                <w:color w:val="17365D"/>
                <w:sz w:val="20"/>
              </w:rPr>
              <w:t xml:space="preserve"> al demolitore</w:t>
            </w:r>
          </w:p>
        </w:tc>
      </w:tr>
      <w:tr w:rsidR="0000759A" w:rsidRPr="00C55167" w:rsidTr="00C55167">
        <w:trPr>
          <w:trHeight w:val="848"/>
        </w:trPr>
        <w:tc>
          <w:tcPr>
            <w:tcW w:w="3256" w:type="dxa"/>
            <w:vAlign w:val="center"/>
          </w:tcPr>
          <w:p w:rsidR="0000759A" w:rsidRPr="00C55167" w:rsidRDefault="0000759A" w:rsidP="008B410C">
            <w:pPr>
              <w:spacing w:after="0"/>
              <w:jc w:val="both"/>
              <w:rPr>
                <w:rFonts w:cs="Calibri"/>
                <w:b/>
                <w:color w:val="17365D"/>
                <w:sz w:val="20"/>
              </w:rPr>
            </w:pPr>
          </w:p>
        </w:tc>
        <w:tc>
          <w:tcPr>
            <w:tcW w:w="3470" w:type="dxa"/>
            <w:gridSpan w:val="2"/>
            <w:tcBorders>
              <w:top w:val="nil"/>
              <w:right w:val="nil"/>
            </w:tcBorders>
            <w:vAlign w:val="center"/>
          </w:tcPr>
          <w:p w:rsidR="0000759A" w:rsidRPr="00C55167" w:rsidRDefault="00BB25F5" w:rsidP="00880F04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  <w:r w:rsidRPr="00C55167">
              <w:rPr>
                <w:rFonts w:cs="Calibri"/>
                <w:color w:val="17365D"/>
                <w:sz w:val="20"/>
              </w:rPr>
              <w:sym w:font="Wingdings" w:char="F06F"/>
            </w:r>
            <w:r w:rsidRPr="00C55167">
              <w:rPr>
                <w:rFonts w:cs="Calibri"/>
                <w:color w:val="17365D"/>
                <w:sz w:val="20"/>
              </w:rPr>
              <w:t xml:space="preserve"> </w:t>
            </w:r>
            <w:proofErr w:type="gramStart"/>
            <w:r w:rsidR="00880F04" w:rsidRPr="00C55167">
              <w:rPr>
                <w:rFonts w:cs="Calibri"/>
                <w:color w:val="17365D"/>
                <w:sz w:val="20"/>
              </w:rPr>
              <w:t>r</w:t>
            </w:r>
            <w:r w:rsidR="0000759A" w:rsidRPr="00C55167">
              <w:rPr>
                <w:rFonts w:cs="Calibri"/>
                <w:color w:val="17365D"/>
                <w:sz w:val="20"/>
              </w:rPr>
              <w:t>itira</w:t>
            </w:r>
            <w:proofErr w:type="gramEnd"/>
            <w:r w:rsidR="0000759A" w:rsidRPr="00C55167">
              <w:rPr>
                <w:rFonts w:cs="Calibri"/>
                <w:color w:val="17365D"/>
                <w:sz w:val="20"/>
              </w:rPr>
              <w:t xml:space="preserve"> </w:t>
            </w:r>
            <w:r w:rsidRPr="00C55167">
              <w:rPr>
                <w:rFonts w:cs="Calibri"/>
                <w:color w:val="17365D"/>
                <w:sz w:val="20"/>
              </w:rPr>
              <w:t xml:space="preserve">le targhe </w:t>
            </w:r>
            <w:r w:rsidR="0000759A" w:rsidRPr="00C55167">
              <w:rPr>
                <w:rFonts w:cs="Calibri"/>
                <w:color w:val="17365D"/>
                <w:sz w:val="20"/>
              </w:rPr>
              <w:t>e</w:t>
            </w:r>
            <w:r w:rsidRPr="00C55167">
              <w:rPr>
                <w:rFonts w:cs="Calibri"/>
                <w:color w:val="17365D"/>
                <w:sz w:val="20"/>
              </w:rPr>
              <w:t>, dopo l’invio dell’istanza,</w:t>
            </w:r>
            <w:r w:rsidR="0000759A" w:rsidRPr="00C55167">
              <w:rPr>
                <w:rFonts w:cs="Calibri"/>
                <w:color w:val="17365D"/>
                <w:sz w:val="20"/>
              </w:rPr>
              <w:t xml:space="preserve"> le restituisce al demolitore</w:t>
            </w:r>
            <w:r w:rsidRPr="00C55167">
              <w:rPr>
                <w:rFonts w:cs="Calibri"/>
                <w:color w:val="17365D"/>
                <w:sz w:val="20"/>
              </w:rPr>
              <w:t xml:space="preserve"> per la conservazione e la distruzione</w:t>
            </w:r>
          </w:p>
        </w:tc>
        <w:tc>
          <w:tcPr>
            <w:tcW w:w="2903" w:type="dxa"/>
            <w:tcBorders>
              <w:top w:val="nil"/>
              <w:left w:val="nil"/>
            </w:tcBorders>
            <w:vAlign w:val="center"/>
          </w:tcPr>
          <w:p w:rsidR="0000759A" w:rsidRPr="00C55167" w:rsidRDefault="00880F04" w:rsidP="008B410C">
            <w:pPr>
              <w:spacing w:after="0"/>
              <w:jc w:val="both"/>
              <w:rPr>
                <w:rFonts w:cs="Calibri"/>
                <w:color w:val="17365D"/>
                <w:sz w:val="20"/>
              </w:rPr>
            </w:pPr>
            <w:proofErr w:type="gramStart"/>
            <w:r w:rsidRPr="00C55167">
              <w:rPr>
                <w:rFonts w:cs="Calibri"/>
                <w:color w:val="17365D"/>
                <w:sz w:val="20"/>
              </w:rPr>
              <w:t>a</w:t>
            </w:r>
            <w:r w:rsidR="00BB25F5" w:rsidRPr="00C55167">
              <w:rPr>
                <w:rFonts w:cs="Calibri"/>
                <w:color w:val="17365D"/>
                <w:sz w:val="20"/>
              </w:rPr>
              <w:t>ltro :</w:t>
            </w:r>
            <w:proofErr w:type="gramEnd"/>
          </w:p>
        </w:tc>
      </w:tr>
    </w:tbl>
    <w:p w:rsidR="008B410C" w:rsidRDefault="008B410C" w:rsidP="008B410C">
      <w:pPr>
        <w:spacing w:after="0"/>
        <w:jc w:val="both"/>
        <w:rPr>
          <w:rFonts w:cs="Calibri"/>
          <w:color w:val="17365D"/>
          <w:sz w:val="20"/>
        </w:rPr>
      </w:pPr>
    </w:p>
    <w:p w:rsidR="00C55167" w:rsidRPr="00737C19" w:rsidRDefault="00C55167" w:rsidP="00C55167">
      <w:pPr>
        <w:spacing w:after="0"/>
        <w:jc w:val="center"/>
        <w:rPr>
          <w:rFonts w:cs="Calibri"/>
          <w:b/>
          <w:color w:val="17365D"/>
        </w:rPr>
      </w:pPr>
      <w:r w:rsidRPr="00737C19">
        <w:rPr>
          <w:rFonts w:cs="Calibri"/>
          <w:b/>
          <w:color w:val="17365D"/>
        </w:rPr>
        <w:t xml:space="preserve">DA TRASMETTERE A </w:t>
      </w:r>
      <w:hyperlink r:id="rId7" w:history="1">
        <w:r w:rsidRPr="00737C19">
          <w:rPr>
            <w:rStyle w:val="Collegamentoipertestuale"/>
            <w:rFonts w:cs="Calibri"/>
            <w:b/>
          </w:rPr>
          <w:t>segreteria@ada-net.it</w:t>
        </w:r>
      </w:hyperlink>
      <w:r w:rsidRPr="00737C19">
        <w:rPr>
          <w:rFonts w:cs="Calibri"/>
          <w:b/>
          <w:color w:val="17365D"/>
        </w:rPr>
        <w:t xml:space="preserve"> ENTRO IL 18 MAGGIO</w:t>
      </w:r>
    </w:p>
    <w:p w:rsidR="00C55167" w:rsidRPr="008B410C" w:rsidRDefault="00C55167" w:rsidP="008B410C">
      <w:pPr>
        <w:spacing w:after="0"/>
        <w:jc w:val="both"/>
        <w:rPr>
          <w:rFonts w:cs="Calibri"/>
          <w:color w:val="17365D"/>
          <w:sz w:val="20"/>
        </w:rPr>
      </w:pPr>
    </w:p>
    <w:sectPr w:rsidR="00C55167" w:rsidRPr="008B410C" w:rsidSect="003B5BEF">
      <w:headerReference w:type="default" r:id="rId8"/>
      <w:footerReference w:type="default" r:id="rId9"/>
      <w:pgSz w:w="11906" w:h="16838"/>
      <w:pgMar w:top="2410" w:right="1133" w:bottom="2694" w:left="1134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B6" w:rsidRDefault="00CE04B6" w:rsidP="004F557D">
      <w:pPr>
        <w:spacing w:after="0" w:line="240" w:lineRule="auto"/>
      </w:pPr>
      <w:r>
        <w:separator/>
      </w:r>
    </w:p>
  </w:endnote>
  <w:endnote w:type="continuationSeparator" w:id="0">
    <w:p w:rsidR="00CE04B6" w:rsidRDefault="00CE04B6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7D" w:rsidRDefault="008F10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2916555</wp:posOffset>
          </wp:positionH>
          <wp:positionV relativeFrom="paragraph">
            <wp:posOffset>-876300</wp:posOffset>
          </wp:positionV>
          <wp:extent cx="3946525" cy="2305685"/>
          <wp:effectExtent l="0" t="0" r="0" b="0"/>
          <wp:wrapNone/>
          <wp:docPr id="24" name="Immagine 0" descr="ADA - Carta intestat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DA - Carta intestata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230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B6" w:rsidRDefault="00CE04B6" w:rsidP="004F557D">
      <w:pPr>
        <w:spacing w:after="0" w:line="240" w:lineRule="auto"/>
      </w:pPr>
      <w:r>
        <w:separator/>
      </w:r>
    </w:p>
  </w:footnote>
  <w:footnote w:type="continuationSeparator" w:id="0">
    <w:p w:rsidR="00CE04B6" w:rsidRDefault="00CE04B6" w:rsidP="004F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7D" w:rsidRDefault="008F10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-121285</wp:posOffset>
          </wp:positionV>
          <wp:extent cx="2654300" cy="844550"/>
          <wp:effectExtent l="0" t="0" r="0" b="0"/>
          <wp:wrapNone/>
          <wp:docPr id="23" name="Immagine 23" descr="C:\Users\Nepote\AppData\Local\Microsoft\Windows\INetCache\Content.Word\ADA - Carta intest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Nepote\AppData\Local\Microsoft\Windows\INetCache\Content.Word\ADA - Carta intestat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6"/>
    <w:rsid w:val="0000759A"/>
    <w:rsid w:val="00033A9A"/>
    <w:rsid w:val="00121841"/>
    <w:rsid w:val="00135913"/>
    <w:rsid w:val="00155C12"/>
    <w:rsid w:val="0017344C"/>
    <w:rsid w:val="001D47A1"/>
    <w:rsid w:val="00231CD0"/>
    <w:rsid w:val="002776BD"/>
    <w:rsid w:val="0028746F"/>
    <w:rsid w:val="002A31FA"/>
    <w:rsid w:val="002B5CFC"/>
    <w:rsid w:val="0035122E"/>
    <w:rsid w:val="003B5BEF"/>
    <w:rsid w:val="003F78DA"/>
    <w:rsid w:val="00435899"/>
    <w:rsid w:val="0047568B"/>
    <w:rsid w:val="00477593"/>
    <w:rsid w:val="004A022E"/>
    <w:rsid w:val="004F557D"/>
    <w:rsid w:val="005311AD"/>
    <w:rsid w:val="00621B3D"/>
    <w:rsid w:val="006431BB"/>
    <w:rsid w:val="00695368"/>
    <w:rsid w:val="007174DB"/>
    <w:rsid w:val="007836D4"/>
    <w:rsid w:val="007A0F85"/>
    <w:rsid w:val="00823228"/>
    <w:rsid w:val="00826E2B"/>
    <w:rsid w:val="00831F39"/>
    <w:rsid w:val="00862F75"/>
    <w:rsid w:val="00863FCB"/>
    <w:rsid w:val="00864C6D"/>
    <w:rsid w:val="00880F04"/>
    <w:rsid w:val="008B410C"/>
    <w:rsid w:val="008F10D7"/>
    <w:rsid w:val="00A07332"/>
    <w:rsid w:val="00A148CA"/>
    <w:rsid w:val="00A226A5"/>
    <w:rsid w:val="00A56CAE"/>
    <w:rsid w:val="00AB2C8E"/>
    <w:rsid w:val="00AB54C3"/>
    <w:rsid w:val="00BB25F5"/>
    <w:rsid w:val="00BB7AE7"/>
    <w:rsid w:val="00BC6430"/>
    <w:rsid w:val="00C55167"/>
    <w:rsid w:val="00CD0AA7"/>
    <w:rsid w:val="00CD280B"/>
    <w:rsid w:val="00CE04B6"/>
    <w:rsid w:val="00D077FC"/>
    <w:rsid w:val="00D83AD7"/>
    <w:rsid w:val="00DF56E4"/>
    <w:rsid w:val="00E03100"/>
    <w:rsid w:val="00E06A09"/>
    <w:rsid w:val="00EC11BA"/>
    <w:rsid w:val="00EF414B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AC9B9D-4C12-427C-A25C-CC438BE3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A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1">
    <w:name w:val="Medium List 1"/>
    <w:aliases w:val="Tabella Ferrero"/>
    <w:basedOn w:val="Tabellanormale"/>
    <w:uiPriority w:val="65"/>
    <w:rsid w:val="00E06A09"/>
    <w:rPr>
      <w:rFonts w:eastAsia="Times New Roman"/>
      <w:color w:val="000000"/>
      <w:sz w:val="24"/>
      <w:szCs w:val="24"/>
    </w:rPr>
    <w:tblPr>
      <w:tblStyleRowBandSize w:val="1"/>
      <w:tblStyleColBandSize w:val="1"/>
      <w:tblBorders>
        <w:insideV w:val="single" w:sz="8" w:space="0" w:color="auto"/>
      </w:tblBorders>
    </w:tblPr>
    <w:tcPr>
      <w:shd w:val="clear" w:color="auto" w:fill="FFFFFF"/>
    </w:tc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rPr>
        <w:rFonts w:ascii="Arial" w:hAnsi="Arial"/>
      </w:rPr>
      <w:tblPr/>
      <w:tcPr>
        <w:shd w:val="clear" w:color="auto" w:fill="C0C0C0"/>
      </w:tcPr>
    </w:tblStylePr>
  </w:style>
  <w:style w:type="table" w:styleId="Elencomedio1-Colore2">
    <w:name w:val="Medium List 1 Accent 2"/>
    <w:basedOn w:val="Tabellanormale"/>
    <w:uiPriority w:val="65"/>
    <w:rsid w:val="00E06A0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F5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57D"/>
  </w:style>
  <w:style w:type="paragraph" w:styleId="Pidipagina">
    <w:name w:val="footer"/>
    <w:basedOn w:val="Normale"/>
    <w:link w:val="PidipaginaCarattere"/>
    <w:uiPriority w:val="99"/>
    <w:unhideWhenUsed/>
    <w:rsid w:val="004F5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55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21841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155C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da-n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ANAS\Pubblica\Ada_Doc\CIRCOLARI\CIRCOLARI%2020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6A16-70D1-4F78-AAFB-C9B953F1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24" baseType="variant"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https://www.fgas.it/news</vt:lpwstr>
      </vt:variant>
      <vt:variant>
        <vt:lpwstr>2452-dal-25-giugno-e-attiva-l-area-comunicazione-vendite-della-banca-dati-fgas</vt:lpwstr>
      </vt:variant>
      <vt:variant>
        <vt:i4>5898332</vt:i4>
      </vt:variant>
      <vt:variant>
        <vt:i4>6</vt:i4>
      </vt:variant>
      <vt:variant>
        <vt:i4>0</vt:i4>
      </vt:variant>
      <vt:variant>
        <vt:i4>5</vt:i4>
      </vt:variant>
      <vt:variant>
        <vt:lpwstr>https://bancadati.fgas.it/</vt:lpwstr>
      </vt:variant>
      <vt:variant>
        <vt:lpwstr>!/home</vt:lpwstr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http://www.isprambiente.gov.it/it/pubblicazioni/manuali-e-linee-guida/linee-guida-sul-trattamento-dei-veicoli-fuori-uso.-aspetti-tecnologici-e-gestionali</vt:lpwstr>
      </vt:variant>
      <vt:variant>
        <vt:lpwstr/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https://bancadati.fgas.it/</vt:lpwstr>
      </vt:variant>
      <vt:variant>
        <vt:lpwstr>!/home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ADA</dc:creator>
  <cp:keywords/>
  <cp:lastModifiedBy>Segreteria ADA</cp:lastModifiedBy>
  <cp:revision>2</cp:revision>
  <dcterms:created xsi:type="dcterms:W3CDTF">2020-05-14T08:05:00Z</dcterms:created>
  <dcterms:modified xsi:type="dcterms:W3CDTF">2020-05-14T08:05:00Z</dcterms:modified>
</cp:coreProperties>
</file>